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0" w:rsidRDefault="00F67F11" w:rsidP="00641789">
      <w:pPr>
        <w:pStyle w:val="Tytu"/>
        <w:spacing w:line="240" w:lineRule="auto"/>
        <w:ind w:left="1620" w:hanging="1620"/>
        <w:jc w:val="both"/>
        <w:rPr>
          <w:szCs w:val="24"/>
        </w:rPr>
      </w:pPr>
      <w:bookmarkStart w:id="0" w:name="_GoBack"/>
      <w:bookmarkEnd w:id="0"/>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r w:rsidR="000A7DDE" w:rsidRPr="0040074F">
        <w:rPr>
          <w:szCs w:val="24"/>
        </w:rPr>
        <w:t xml:space="preserve"> </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 xml:space="preserve">WARSTWA WIĄŻĄCA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 xml:space="preserve">Przedmiotem n/n Szczegółowej Specyfikacji Technicznej są wymagania dotyczące </w:t>
      </w:r>
      <w:r w:rsidR="003A658B">
        <w:rPr>
          <w:sz w:val="22"/>
          <w:szCs w:val="22"/>
        </w:rPr>
        <w:t>zakupu</w:t>
      </w:r>
      <w:r w:rsidR="00F67F11" w:rsidRPr="00F67F11">
        <w:rPr>
          <w:sz w:val="22"/>
          <w:szCs w:val="22"/>
        </w:rPr>
        <w:t xml:space="preserve"> </w:t>
      </w:r>
      <w:r w:rsidR="003A658B">
        <w:rPr>
          <w:sz w:val="22"/>
          <w:szCs w:val="22"/>
        </w:rPr>
        <w:br/>
      </w:r>
      <w:r w:rsidR="00F67F11" w:rsidRPr="00F67F11">
        <w:rPr>
          <w:sz w:val="22"/>
          <w:szCs w:val="22"/>
        </w:rPr>
        <w:t xml:space="preserve">i </w:t>
      </w:r>
      <w:r w:rsidR="003A658B">
        <w:rPr>
          <w:sz w:val="22"/>
          <w:szCs w:val="22"/>
        </w:rPr>
        <w:t>transportu</w:t>
      </w:r>
      <w:r w:rsidR="00F67F11" w:rsidRPr="00F67F11">
        <w:rPr>
          <w:sz w:val="22"/>
          <w:szCs w:val="22"/>
        </w:rPr>
        <w:t xml:space="preserve"> warstwy wiążącej z betonu asfaltowego w ramach zadania:</w:t>
      </w:r>
    </w:p>
    <w:p w:rsidR="0052760F" w:rsidRPr="004E0F89" w:rsidRDefault="0052760F" w:rsidP="0040074F">
      <w:pPr>
        <w:pStyle w:val="Nagwek3"/>
        <w:spacing w:before="0"/>
        <w:rPr>
          <w:rFonts w:cs="Times New Roman"/>
          <w:bCs/>
          <w:iCs w:val="0"/>
          <w:sz w:val="22"/>
          <w:szCs w:val="22"/>
        </w:rPr>
      </w:pPr>
      <w:r w:rsidRPr="004E0F89">
        <w:rPr>
          <w:rFonts w:cs="Times New Roman"/>
          <w:bCs/>
          <w:iCs w:val="0"/>
          <w:sz w:val="22"/>
          <w:szCs w:val="22"/>
        </w:rPr>
        <w:t>Zakup betonu asfaltowego dla potrzeb budowy drogi powiatowej nr 43</w:t>
      </w:r>
      <w:r w:rsidR="009646BA">
        <w:rPr>
          <w:rFonts w:cs="Times New Roman"/>
          <w:bCs/>
          <w:iCs w:val="0"/>
          <w:sz w:val="22"/>
          <w:szCs w:val="22"/>
        </w:rPr>
        <w:t>28</w:t>
      </w:r>
      <w:r w:rsidRPr="004E0F89">
        <w:rPr>
          <w:rFonts w:cs="Times New Roman"/>
          <w:bCs/>
          <w:iCs w:val="0"/>
          <w:sz w:val="22"/>
          <w:szCs w:val="22"/>
        </w:rPr>
        <w:t xml:space="preserve">W </w:t>
      </w:r>
      <w:r w:rsidRPr="004E0F89">
        <w:rPr>
          <w:rFonts w:cs="Times New Roman"/>
          <w:bCs/>
          <w:iCs w:val="0"/>
          <w:sz w:val="22"/>
          <w:szCs w:val="22"/>
        </w:rPr>
        <w:br/>
        <w:t xml:space="preserve">w msc. </w:t>
      </w:r>
      <w:r w:rsidR="009646BA">
        <w:rPr>
          <w:rFonts w:cs="Times New Roman"/>
          <w:bCs/>
          <w:iCs w:val="0"/>
          <w:sz w:val="22"/>
          <w:szCs w:val="22"/>
        </w:rPr>
        <w:t>Osęka</w:t>
      </w:r>
      <w:r w:rsidRPr="004E0F89">
        <w:rPr>
          <w:rFonts w:cs="Times New Roman"/>
          <w:bCs/>
          <w:iCs w:val="0"/>
          <w:sz w:val="22"/>
          <w:szCs w:val="22"/>
        </w:rPr>
        <w:t xml:space="preserve">, gm. </w:t>
      </w:r>
      <w:r w:rsidR="009646BA">
        <w:rPr>
          <w:rFonts w:cs="Times New Roman"/>
          <w:bCs/>
          <w:iCs w:val="0"/>
          <w:sz w:val="22"/>
          <w:szCs w:val="22"/>
        </w:rPr>
        <w:t>Strachówka</w:t>
      </w:r>
      <w:r w:rsidRPr="004E0F89">
        <w:rPr>
          <w:rFonts w:cs="Times New Roman"/>
          <w:bCs/>
          <w:iCs w:val="0"/>
          <w:sz w:val="22"/>
          <w:szCs w:val="22"/>
        </w:rPr>
        <w:t xml:space="preserve">. </w:t>
      </w:r>
    </w:p>
    <w:p w:rsidR="0052760F" w:rsidRPr="003A658B" w:rsidRDefault="0052760F" w:rsidP="0052760F">
      <w:pPr>
        <w:rPr>
          <w:b/>
          <w:color w:val="FF0000"/>
          <w:sz w:val="22"/>
          <w:szCs w:val="22"/>
          <w:u w:val="single"/>
        </w:rPr>
      </w:pPr>
      <w:r w:rsidRPr="003A658B">
        <w:rPr>
          <w:b/>
          <w:color w:val="FF0000"/>
          <w:sz w:val="22"/>
          <w:szCs w:val="22"/>
          <w:u w:val="single"/>
        </w:rPr>
        <w:t xml:space="preserve">Niniejsza SST dotyczy wyłącznie dostawy masy bitumicznej i jej transportu na miejsce wbudowania. Wszelkie zapisy SST dotyczące wbudowania masy bitumicznej przez dostawcę nie mają zastosowania.  </w:t>
      </w:r>
    </w:p>
    <w:p w:rsidR="0052760F" w:rsidRPr="004E0F89" w:rsidRDefault="0052760F" w:rsidP="0040074F">
      <w:pPr>
        <w:pStyle w:val="Nagwek3"/>
        <w:spacing w:before="0"/>
        <w:rPr>
          <w:rFonts w:cs="Times New Roman"/>
          <w:bCs/>
          <w:iCs w:val="0"/>
          <w:sz w:val="22"/>
          <w:szCs w:val="22"/>
        </w:rPr>
      </w:pPr>
    </w:p>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 xml:space="preserve">Ustalenia zawarte w niniejszej Specyfikacji Technicznej (ST), dotyczą zasad związanych z wykonaniem i odbiorem 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CC1D5E" w:rsidRDefault="00CC1D5E" w:rsidP="00CC1D5E">
      <w:pPr>
        <w:spacing w:before="0"/>
        <w:rPr>
          <w:sz w:val="22"/>
          <w:szCs w:val="22"/>
        </w:rPr>
      </w:pPr>
      <w:r w:rsidRPr="00976847">
        <w:rPr>
          <w:sz w:val="22"/>
          <w:szCs w:val="22"/>
        </w:rPr>
        <w:t>Ustalenia zawarte w n/n Szczegółowej Specyfikacji Technicznej obejmują</w:t>
      </w:r>
      <w:r>
        <w:rPr>
          <w:sz w:val="22"/>
          <w:szCs w:val="22"/>
        </w:rPr>
        <w:t>:</w:t>
      </w:r>
    </w:p>
    <w:p w:rsidR="00CC1D5E" w:rsidRPr="006E29B1" w:rsidRDefault="003A658B" w:rsidP="00276B45">
      <w:pPr>
        <w:pStyle w:val="WyliczanieZnak"/>
        <w:numPr>
          <w:ilvl w:val="0"/>
          <w:numId w:val="17"/>
        </w:numPr>
        <w:spacing w:before="120" w:line="240" w:lineRule="auto"/>
        <w:jc w:val="both"/>
        <w:rPr>
          <w:b/>
          <w:szCs w:val="22"/>
        </w:rPr>
      </w:pPr>
      <w:r>
        <w:rPr>
          <w:b/>
          <w:szCs w:val="22"/>
        </w:rPr>
        <w:t>dostawę</w:t>
      </w:r>
      <w:r w:rsidR="000969E8">
        <w:rPr>
          <w:b/>
          <w:szCs w:val="22"/>
        </w:rPr>
        <w:t xml:space="preserve"> mieszanki mineralno-bitumicznej na </w:t>
      </w:r>
      <w:r w:rsidR="00CC1D5E" w:rsidRPr="006E29B1">
        <w:rPr>
          <w:b/>
          <w:szCs w:val="22"/>
        </w:rPr>
        <w:t>warstw</w:t>
      </w:r>
      <w:r w:rsidR="000969E8">
        <w:rPr>
          <w:b/>
          <w:szCs w:val="22"/>
        </w:rPr>
        <w:t>ę wiążącą</w:t>
      </w:r>
      <w:r w:rsidR="00CC1D5E" w:rsidRPr="006E29B1">
        <w:rPr>
          <w:b/>
          <w:szCs w:val="22"/>
        </w:rPr>
        <w:t xml:space="preserve"> typu AC1</w:t>
      </w:r>
      <w:r w:rsidR="00897D96">
        <w:rPr>
          <w:b/>
          <w:szCs w:val="22"/>
        </w:rPr>
        <w:t>6</w:t>
      </w:r>
      <w:r w:rsidR="00CC1D5E" w:rsidRPr="006E29B1">
        <w:rPr>
          <w:b/>
          <w:szCs w:val="22"/>
        </w:rPr>
        <w:t>W 35/50 (KR3) – droga powiatowa,</w:t>
      </w:r>
      <w:r w:rsidR="006E29B1" w:rsidRPr="006E29B1">
        <w:rPr>
          <w:b/>
          <w:szCs w:val="22"/>
        </w:rPr>
        <w:t xml:space="preserve"> </w:t>
      </w:r>
    </w:p>
    <w:p w:rsidR="00CC1D5E" w:rsidRPr="00F67F11" w:rsidRDefault="00CC1D5E" w:rsidP="00CC1D5E">
      <w:pPr>
        <w:tabs>
          <w:tab w:val="clear" w:pos="397"/>
          <w:tab w:val="clear" w:pos="737"/>
        </w:tabs>
        <w:spacing w:before="0"/>
        <w:rPr>
          <w:rFonts w:cs="Times New Roman"/>
          <w:bCs w:val="0"/>
          <w:iCs w:val="0"/>
          <w:snapToGrid w:val="0"/>
          <w:sz w:val="22"/>
          <w:szCs w:val="22"/>
        </w:rPr>
      </w:pPr>
      <w:r w:rsidRPr="00F67F11">
        <w:rPr>
          <w:rFonts w:cs="Times New Roman"/>
          <w:bCs w:val="0"/>
          <w:iCs w:val="0"/>
          <w:snapToGrid w:val="0"/>
          <w:sz w:val="22"/>
          <w:szCs w:val="22"/>
        </w:rPr>
        <w:t>w lo</w:t>
      </w:r>
      <w:r w:rsidR="003A658B">
        <w:rPr>
          <w:rFonts w:cs="Times New Roman"/>
          <w:bCs w:val="0"/>
          <w:iCs w:val="0"/>
          <w:snapToGrid w:val="0"/>
          <w:sz w:val="22"/>
          <w:szCs w:val="22"/>
        </w:rPr>
        <w:t xml:space="preserve">kalizacji zgodnej z zamówieniem. </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w:t>
      </w:r>
      <w:r w:rsidRPr="00F67F11">
        <w:rPr>
          <w:rFonts w:cs="Times New Roman"/>
          <w:b/>
          <w:bCs w:val="0"/>
          <w:iCs w:val="0"/>
          <w:sz w:val="22"/>
          <w:szCs w:val="22"/>
        </w:rPr>
        <w:t xml:space="preserve"> </w:t>
      </w:r>
      <w:r w:rsidRPr="00F67F11">
        <w:rPr>
          <w:rFonts w:cs="Times New Roman"/>
          <w:bCs w:val="0"/>
          <w:iCs w:val="0"/>
          <w:sz w:val="22"/>
          <w:szCs w:val="22"/>
        </w:rPr>
        <w:t>-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Mieszanka mineralno-asfaltowa (MMA)</w:t>
      </w:r>
      <w:r w:rsidRPr="00F67F11">
        <w:rPr>
          <w:rFonts w:cs="Times New Roman"/>
          <w:b/>
          <w:bCs w:val="0"/>
          <w:iCs w:val="0"/>
          <w:sz w:val="22"/>
          <w:szCs w:val="22"/>
        </w:rPr>
        <w:t xml:space="preserve"> </w:t>
      </w:r>
      <w:r w:rsidRPr="00F67F11">
        <w:rPr>
          <w:rFonts w:cs="Times New Roman"/>
          <w:bCs w:val="0"/>
          <w:iCs w:val="0"/>
          <w:sz w:val="22"/>
          <w:szCs w:val="22"/>
        </w:rPr>
        <w:t>- mieszanka mineralna z odpowiednią ilością asfaltu lub polimeroasfaltu,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w:t>
      </w:r>
      <w:r w:rsidRPr="00F67F11">
        <w:rPr>
          <w:rFonts w:cs="Times New Roman"/>
          <w:b/>
          <w:bCs w:val="0"/>
          <w:iCs w:val="0"/>
          <w:sz w:val="22"/>
          <w:szCs w:val="22"/>
        </w:rPr>
        <w:t xml:space="preserve"> </w:t>
      </w:r>
      <w:r w:rsidRPr="00F67F11">
        <w:rPr>
          <w:rFonts w:cs="Times New Roman"/>
          <w:bCs w:val="0"/>
          <w:iCs w:val="0"/>
          <w:sz w:val="22"/>
          <w:szCs w:val="22"/>
        </w:rPr>
        <w:t>-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w:t>
      </w:r>
      <w:r w:rsidRPr="00F67F11">
        <w:rPr>
          <w:rFonts w:cs="Times New Roman"/>
          <w:b/>
          <w:bCs w:val="0"/>
          <w:iCs w:val="0"/>
          <w:sz w:val="22"/>
          <w:szCs w:val="22"/>
        </w:rPr>
        <w:t xml:space="preserve"> </w:t>
      </w:r>
      <w:r w:rsidRPr="00F67F11">
        <w:rPr>
          <w:rFonts w:cs="Times New Roman"/>
          <w:bCs w:val="0"/>
          <w:iCs w:val="0"/>
          <w:sz w:val="22"/>
          <w:szCs w:val="22"/>
        </w:rPr>
        <w:t>-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w:t>
      </w:r>
      <w:r w:rsidRPr="00F67F11">
        <w:rPr>
          <w:rFonts w:cs="Times New Roman"/>
          <w:b/>
          <w:bCs w:val="0"/>
          <w:iCs w:val="0"/>
          <w:sz w:val="22"/>
          <w:szCs w:val="22"/>
        </w:rPr>
        <w:t xml:space="preserve"> </w:t>
      </w:r>
      <w:r w:rsidRPr="00F67F11">
        <w:rPr>
          <w:rFonts w:cs="Times New Roman"/>
          <w:bCs w:val="0"/>
          <w:iCs w:val="0"/>
          <w:sz w:val="22"/>
          <w:szCs w:val="22"/>
        </w:rPr>
        <w:t>-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w:t>
      </w:r>
      <w:r w:rsidRPr="00F67F11">
        <w:rPr>
          <w:rFonts w:cs="Times New Roman"/>
          <w:b/>
          <w:bCs w:val="0"/>
          <w:iCs w:val="0"/>
          <w:sz w:val="22"/>
          <w:szCs w:val="22"/>
        </w:rPr>
        <w:t xml:space="preserve"> </w:t>
      </w:r>
      <w:r w:rsidRPr="00F67F11">
        <w:rPr>
          <w:rFonts w:cs="Times New Roman"/>
          <w:bCs w:val="0"/>
          <w:iCs w:val="0"/>
          <w:sz w:val="22"/>
          <w:szCs w:val="22"/>
        </w:rPr>
        <w:t>–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w:t>
      </w:r>
      <w:r w:rsidRPr="00F67F11">
        <w:rPr>
          <w:rFonts w:cs="Times New Roman"/>
          <w:b/>
          <w:bCs w:val="0"/>
          <w:iCs w:val="0"/>
          <w:sz w:val="22"/>
          <w:szCs w:val="22"/>
        </w:rPr>
        <w:t xml:space="preserve"> </w:t>
      </w:r>
      <w:r w:rsidRPr="00F67F11">
        <w:rPr>
          <w:rFonts w:cs="Times New Roman"/>
          <w:bCs w:val="0"/>
          <w:iCs w:val="0"/>
          <w:sz w:val="22"/>
          <w:szCs w:val="22"/>
        </w:rPr>
        <w:t>–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Kategoria ruchu (KR)</w:t>
      </w:r>
      <w:r w:rsidRPr="00F67F11">
        <w:rPr>
          <w:rFonts w:cs="Times New Roman"/>
          <w:b/>
          <w:bCs w:val="0"/>
          <w:iCs w:val="0"/>
          <w:sz w:val="22"/>
          <w:szCs w:val="22"/>
        </w:rPr>
        <w:t xml:space="preserve"> </w:t>
      </w:r>
      <w:r w:rsidRPr="00F67F11">
        <w:rPr>
          <w:rFonts w:cs="Times New Roman"/>
          <w:bCs w:val="0"/>
          <w:iCs w:val="0"/>
          <w:sz w:val="22"/>
          <w:szCs w:val="22"/>
        </w:rPr>
        <w:t>– obciążenie drogi ruchem samochodowym, wyrażone w osiach obliczeniowych (100 kN)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lastRenderedPageBreak/>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Dokumentacją Projektową,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t>2</w:t>
      </w:r>
      <w:r w:rsidR="00156805" w:rsidRPr="00F67F11">
        <w:rPr>
          <w:rFonts w:cs="Times New Roman"/>
          <w:szCs w:val="22"/>
        </w:rPr>
        <w:t>.</w:t>
      </w:r>
      <w:r w:rsidRPr="00F67F11">
        <w:rPr>
          <w:rFonts w:cs="Times New Roman"/>
          <w:szCs w:val="22"/>
        </w:rPr>
        <w:t xml:space="preserve"> </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Procentowa zawartość ziaren o powierzchni przekruszonej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r w:rsidRPr="00433162">
              <w:rPr>
                <w:rFonts w:cs="Times New Roman"/>
                <w:i/>
                <w:szCs w:val="20"/>
                <w:lang w:val="de-DE"/>
              </w:rPr>
              <w:t>C</w:t>
            </w:r>
            <w:r w:rsidR="00307507">
              <w:rPr>
                <w:rFonts w:cs="Times New Roman"/>
                <w:szCs w:val="20"/>
                <w:vertAlign w:val="subscript"/>
                <w:lang w:val="de-DE"/>
              </w:rPr>
              <w:t>Deklarowana</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m</w:t>
            </w:r>
            <w:r w:rsidRPr="00433162">
              <w:rPr>
                <w:rFonts w:cs="Times New Roman"/>
                <w:szCs w:val="20"/>
                <w:vertAlign w:val="subscript"/>
              </w:rPr>
              <w:t>LPC</w:t>
            </w:r>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lastRenderedPageBreak/>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r w:rsidRPr="00307507">
              <w:rPr>
                <w:rFonts w:cs="Times New Roman"/>
                <w:sz w:val="18"/>
                <w:szCs w:val="18"/>
              </w:rPr>
              <w:t xml:space="preserve"> </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r w:rsidRPr="00307507">
              <w:rPr>
                <w:rFonts w:cs="Times New Roman"/>
                <w:sz w:val="18"/>
                <w:szCs w:val="18"/>
              </w:rPr>
              <w:t xml:space="preserve"> </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 xml:space="preserve">cs </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rPr>
              <w:t xml:space="preserve"> </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t xml:space="preserve"> </w:t>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lastRenderedPageBreak/>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00824849" w:rsidRPr="0040074F">
        <w:rPr>
          <w:rFonts w:cs="Times New Roman"/>
          <w:szCs w:val="20"/>
        </w:rPr>
        <w:t xml:space="preserve"> </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r w:rsidRPr="0040074F">
        <w:rPr>
          <w:rFonts w:cs="Times New Roman"/>
          <w:i/>
          <w:szCs w:val="20"/>
        </w:rPr>
        <w:t>B</w:t>
      </w:r>
      <w:r w:rsidRPr="0040074F">
        <w:rPr>
          <w:rFonts w:cs="Times New Roman"/>
          <w:szCs w:val="20"/>
          <w:vertAlign w:val="subscript"/>
        </w:rPr>
        <w:t>min</w:t>
      </w:r>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lastRenderedPageBreak/>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+…P</w:t>
      </w:r>
      <w:r w:rsidRPr="00857580">
        <w:rPr>
          <w:rFonts w:ascii="Times New Roman" w:hAnsi="Times New Roman"/>
          <w:snapToGrid w:val="0"/>
          <w:sz w:val="22"/>
          <w:vertAlign w:val="subscript"/>
        </w:rPr>
        <w:t>n</w:t>
      </w:r>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w zaprojektowanej mieszance (recepcie) powinna być wyższa od podanego B</w:t>
      </w:r>
      <w:r w:rsidRPr="00857580">
        <w:rPr>
          <w:rFonts w:ascii="Times New Roman" w:hAnsi="Times New Roman"/>
          <w:sz w:val="22"/>
          <w:vertAlign w:val="subscript"/>
        </w:rPr>
        <w:t>min</w:t>
      </w:r>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Zaprojektowana mieszanka betonu asfaltowego AC</w:t>
      </w:r>
      <w:r w:rsidR="00191C92" w:rsidRPr="00857580">
        <w:rPr>
          <w:rFonts w:cs="Times New Roman"/>
          <w:sz w:val="22"/>
          <w:szCs w:val="20"/>
        </w:rPr>
        <w:t xml:space="preserve"> </w:t>
      </w:r>
      <w:r w:rsidRPr="00857580">
        <w:rPr>
          <w:rFonts w:cs="Times New Roman"/>
          <w:sz w:val="22"/>
          <w:szCs w:val="20"/>
        </w:rPr>
        <w:t xml:space="preserve">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5A1E66" w:rsidRPr="00857580">
        <w:rPr>
          <w:rFonts w:cs="Times New Roman"/>
          <w:sz w:val="22"/>
          <w:szCs w:val="20"/>
        </w:rPr>
        <w:t xml:space="preserve"> </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r w:rsidR="008222EF" w:rsidRPr="00857580">
        <w:rPr>
          <w:rFonts w:cs="Times New Roman"/>
          <w:sz w:val="22"/>
          <w:szCs w:val="20"/>
        </w:rPr>
        <w:t xml:space="preserve"> </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Pr="00A25E02">
        <w:rPr>
          <w:rFonts w:cs="Times New Roman"/>
          <w:szCs w:val="20"/>
        </w:rPr>
        <w:t xml:space="preserve"> </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deformacje trwałe</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AIRdeklarowane</w:t>
            </w: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 xml:space="preserve">Odporność na działanie wody, warunki zagęszczania </w:t>
            </w:r>
            <w:r w:rsidRPr="006E07D6">
              <w:rPr>
                <w:rFonts w:cs="Times New Roman"/>
                <w:sz w:val="18"/>
                <w:szCs w:val="18"/>
              </w:rPr>
              <w:lastRenderedPageBreak/>
              <w:t>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lastRenderedPageBreak/>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lastRenderedPageBreak/>
              <w:t xml:space="preserve">PN-EN 12697-12, lecz </w:t>
            </w:r>
            <w:r w:rsidRPr="006E07D6">
              <w:rPr>
                <w:rFonts w:cs="Times New Roman"/>
                <w:sz w:val="18"/>
                <w:szCs w:val="18"/>
              </w:rPr>
              <w:lastRenderedPageBreak/>
              <w:t>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lastRenderedPageBreak/>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w:t>
      </w:r>
      <w:r w:rsidR="00770A7D" w:rsidRPr="00A25E02">
        <w:rPr>
          <w:rFonts w:cs="Times New Roman"/>
          <w:szCs w:val="20"/>
        </w:rPr>
        <w:t xml:space="preserve"> </w:t>
      </w:r>
      <w:r w:rsidRPr="00A25E02">
        <w:rPr>
          <w:rFonts w:cs="Times New Roman"/>
          <w:szCs w:val="20"/>
        </w:rPr>
        <w:t>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polimeroasfaltu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641789" w:rsidRPr="004239EF" w:rsidTr="00641789">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641789">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r w:rsidRPr="004239EF">
              <w:rPr>
                <w:sz w:val="22"/>
                <w:szCs w:val="22"/>
              </w:rPr>
              <w:t>Polimeroasfalt PMB 25/55-60</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lastRenderedPageBreak/>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Przygotowanie podłoża i połączenie mi</w:t>
      </w:r>
      <w:r w:rsidR="00FD13A4" w:rsidRPr="00E66C8E">
        <w:rPr>
          <w:rFonts w:cs="Times New Roman"/>
          <w:szCs w:val="20"/>
        </w:rPr>
        <w:t>ę</w:t>
      </w:r>
      <w:r w:rsidRPr="00E66C8E">
        <w:rPr>
          <w:rFonts w:cs="Times New Roman"/>
          <w:szCs w:val="20"/>
        </w:rPr>
        <w:t>dzywarstwowe</w:t>
      </w:r>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wykonać własne badania właściwości materiałów przeznaczonych do wykonania robót, określone przez Inżyniera,</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lastRenderedPageBreak/>
        <w:t xml:space="preserve">Przed przystąpieniem do robót Wykonawca powinien wykonać pełne badania lepiszcza, wypełniacza oraz kruszyw przeznaczonych do produkcji mieszanki mineralno-asfaltowej i przedstawić wyniki tych badań Inżynierowi do akceptacji. </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00E66C8E">
        <w:rPr>
          <w:rFonts w:cs="Times New Roman"/>
          <w:szCs w:val="20"/>
        </w:rPr>
        <w:t xml:space="preserve"> </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grubego o wymiarze &gt;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lastRenderedPageBreak/>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37618D">
        <w:rPr>
          <w:rFonts w:cs="Times New Roman"/>
          <w:szCs w:val="20"/>
        </w:rPr>
        <w:t xml:space="preserve"> </w:t>
      </w:r>
      <w:r w:rsidR="0063408D" w:rsidRPr="00D0593D">
        <w:rPr>
          <w:rFonts w:cs="Times New Roman"/>
          <w:szCs w:val="20"/>
        </w:rPr>
        <w:t xml:space="preserve">Dopuszczalne odchyłki dotyczące pojedynczego wyniku badania i średniej arytmetycznej wyników badań zawartości kruszywa o wymiarze &lt; </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 xml:space="preserve">Tablica </w:t>
      </w:r>
      <w:r w:rsidR="00D0593D">
        <w:rPr>
          <w:rFonts w:cs="Times New Roman"/>
          <w:szCs w:val="20"/>
        </w:rPr>
        <w:t>15</w:t>
      </w:r>
      <w:r w:rsidR="0037618D">
        <w:rPr>
          <w:rFonts w:cs="Times New Roman"/>
          <w:szCs w:val="20"/>
        </w:rPr>
        <w:t xml:space="preserve"> </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 </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37618D">
        <w:rPr>
          <w:rFonts w:cs="Times New Roman"/>
          <w:szCs w:val="20"/>
        </w:rPr>
        <w:t xml:space="preserve"> </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Pr="00E66C8E">
        <w:rPr>
          <w:sz w:val="22"/>
        </w:rPr>
        <w:t xml:space="preserve"> </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007F0452" w:rsidRPr="00E66C8E">
        <w:rPr>
          <w:sz w:val="22"/>
        </w:rPr>
        <w:t xml:space="preserve"> </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lastRenderedPageBreak/>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2C1926" w:rsidRPr="00E66C8E">
        <w:rPr>
          <w:rFonts w:cs="Times New Roman"/>
          <w:sz w:val="22"/>
          <w:szCs w:val="20"/>
        </w:rPr>
        <w:t xml:space="preserve"> </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9A5DFD" w:rsidRPr="00E66C8E">
        <w:rPr>
          <w:rFonts w:cs="Times New Roman"/>
          <w:sz w:val="22"/>
          <w:szCs w:val="20"/>
        </w:rPr>
        <w:t xml:space="preserve"> </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Dla każdej jezdni i każdego pasa ruchu pomiar planografem;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jw</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DE4F35" w:rsidRPr="00E66C8E">
        <w:rPr>
          <w:rFonts w:cs="Times New Roman"/>
          <w:sz w:val="22"/>
          <w:szCs w:val="20"/>
        </w:rPr>
        <w:t xml:space="preserve"> </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a</w:t>
      </w:r>
      <w:r w:rsidRPr="00E66C8E">
        <w:rPr>
          <w:rFonts w:cs="Times New Roman"/>
          <w:sz w:val="22"/>
          <w:szCs w:val="20"/>
        </w:rPr>
        <w:t xml:space="preserve"> </w:t>
      </w:r>
      <w:r w:rsidR="00F237B6" w:rsidRPr="00E66C8E">
        <w:rPr>
          <w:rFonts w:cs="Times New Roman"/>
          <w:sz w:val="22"/>
          <w:szCs w:val="20"/>
        </w:rPr>
        <w:t xml:space="preserve">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r w:rsidR="00F237B6" w:rsidRPr="00E66C8E">
        <w:rPr>
          <w:rFonts w:cs="Times New Roman"/>
          <w:sz w:val="22"/>
          <w:szCs w:val="20"/>
        </w:rPr>
        <w:t xml:space="preserve"> </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 xml:space="preserve">trowej i klina lub metody równoważnej użyciu łaty i klina. Pomiar należy wykonywać w kierunku prostopadłym do osi jezdni, na każdym pasie ruchu, nie </w:t>
      </w:r>
      <w:r w:rsidRPr="00E66C8E">
        <w:rPr>
          <w:rFonts w:cs="Times New Roman"/>
          <w:sz w:val="22"/>
          <w:szCs w:val="20"/>
        </w:rPr>
        <w:lastRenderedPageBreak/>
        <w:t>rzadziej 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504"/>
        <w:gridCol w:w="2901"/>
        <w:gridCol w:w="565"/>
        <w:gridCol w:w="656"/>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C5535A" w:rsidRPr="00E66C8E">
        <w:rPr>
          <w:rFonts w:cs="Times New Roman"/>
          <w:sz w:val="22"/>
          <w:szCs w:val="20"/>
        </w:rPr>
        <w:t xml:space="preserve"> </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r w:rsidRPr="00C5535A" w:rsidDel="003F5CC9">
              <w:rPr>
                <w:rStyle w:val="FontStyle259"/>
                <w:rFonts w:ascii="Times New Roman" w:hAnsi="Times New Roman"/>
                <w:sz w:val="20"/>
                <w:szCs w:val="20"/>
              </w:rPr>
              <w:t xml:space="preserve"> </w:t>
            </w:r>
            <w:r>
              <w:rPr>
                <w:rStyle w:val="FontStyle259"/>
                <w:rFonts w:ascii="Times New Roman" w:hAnsi="Times New Roman"/>
                <w:sz w:val="20"/>
                <w:szCs w:val="20"/>
              </w:rPr>
              <w:t>+P</w:t>
            </w:r>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     </w:t>
            </w: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lastRenderedPageBreak/>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w:t>
            </w:r>
            <w:r w:rsidR="002C3F04">
              <w:rPr>
                <w:rStyle w:val="FontStyle259"/>
                <w:rFonts w:ascii="Times New Roman" w:hAnsi="Times New Roman" w:cs="Times New Roman"/>
              </w:rPr>
              <w:t xml:space="preserve"> </w:t>
            </w:r>
            <w:r w:rsidRPr="002C3F04">
              <w:rPr>
                <w:rStyle w:val="FontStyle259"/>
                <w:rFonts w:ascii="Times New Roman" w:hAnsi="Times New Roman" w:cs="Times New Roman"/>
              </w:rPr>
              <w:t>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 xml:space="preserve">Zawartość ziaren &lt; </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Zawartość ziaren &gt; </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r w:rsidR="00035F90" w:rsidRPr="00E66C8E">
        <w:rPr>
          <w:rFonts w:cs="Times New Roman"/>
          <w:sz w:val="22"/>
          <w:szCs w:val="20"/>
        </w:rPr>
        <w:t xml:space="preserve"> </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lastRenderedPageBreak/>
        <w:t>Roboty uznaje się za wykonane zgodnie z Dokumentacją Projektową,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Wymagania Techniczne WT-2 Nawierzchnie asfaltowe. Nawierzchnie asfaltowe na drogach publicznych, IBDiM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lastRenderedPageBreak/>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10"/>
      <w:headerReference w:type="default" r:id="rId11"/>
      <w:footerReference w:type="even" r:id="rId12"/>
      <w:footerReference w:type="default" r:id="rId13"/>
      <w:pgSz w:w="11906" w:h="16838" w:code="9"/>
      <w:pgMar w:top="1135" w:right="1274" w:bottom="1417" w:left="851" w:header="397" w:footer="737" w:gutter="567"/>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C7" w:rsidRDefault="00DC47C7">
      <w:r>
        <w:separator/>
      </w:r>
    </w:p>
  </w:endnote>
  <w:endnote w:type="continuationSeparator" w:id="0">
    <w:p w:rsidR="00DC47C7" w:rsidRDefault="00DC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F" w:rsidRPr="000A7DDE" w:rsidRDefault="00124F9F"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124F9F" w:rsidRPr="005B79CE" w:rsidRDefault="00124F9F"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124F9F" w:rsidRPr="000A7DDE" w:rsidRDefault="00124F9F"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F" w:rsidRPr="001A3383" w:rsidRDefault="00124F9F"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005989">
      <w:rPr>
        <w:rStyle w:val="Numerstrony"/>
        <w:rFonts w:ascii="Times New Roman" w:hAnsi="Times New Roman" w:cs="Times New Roman"/>
        <w:noProof/>
      </w:rPr>
      <w:t>175</w:t>
    </w:r>
    <w:r w:rsidRPr="001A3383">
      <w:rPr>
        <w:rStyle w:val="Numerstrony"/>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C7" w:rsidRDefault="00DC47C7">
      <w:r>
        <w:separator/>
      </w:r>
    </w:p>
  </w:footnote>
  <w:footnote w:type="continuationSeparator" w:id="0">
    <w:p w:rsidR="00DC47C7" w:rsidRDefault="00DC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F" w:rsidRPr="000A7DDE" w:rsidRDefault="00124F9F"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rStyle w:val="Numerstrony"/>
        <w:i w:val="0"/>
        <w:sz w:val="18"/>
        <w:szCs w:val="18"/>
      </w:rPr>
      <w:t xml:space="preserve">                          </w:t>
    </w:r>
    <w:r w:rsidRPr="000A7DDE">
      <w:rPr>
        <w:i/>
        <w:sz w:val="18"/>
        <w:szCs w:val="18"/>
      </w:rPr>
      <w:t xml:space="preserve">                 </w:t>
    </w:r>
    <w:r w:rsidRPr="000A7DDE">
      <w:rPr>
        <w:i/>
        <w:sz w:val="18"/>
        <w:szCs w:val="18"/>
      </w:rPr>
      <w:tab/>
      <w:t xml:space="preserve">  </w:t>
    </w:r>
    <w:r w:rsidRPr="000A7DDE">
      <w:rPr>
        <w:i/>
        <w:sz w:val="18"/>
        <w:szCs w:val="18"/>
      </w:rPr>
      <w:tab/>
      <w:t>TRANSPROJEKT – WARSZAWA Sp. z o.o.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F" w:rsidRDefault="00124F9F"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1"/>
    <w:rsid w:val="00001418"/>
    <w:rsid w:val="00002F50"/>
    <w:rsid w:val="00004A96"/>
    <w:rsid w:val="00005989"/>
    <w:rsid w:val="00014316"/>
    <w:rsid w:val="000170C7"/>
    <w:rsid w:val="00025B2D"/>
    <w:rsid w:val="00030BD5"/>
    <w:rsid w:val="00033780"/>
    <w:rsid w:val="00035F90"/>
    <w:rsid w:val="00040A08"/>
    <w:rsid w:val="000477EB"/>
    <w:rsid w:val="00067718"/>
    <w:rsid w:val="00071B21"/>
    <w:rsid w:val="00071FA4"/>
    <w:rsid w:val="00072EA6"/>
    <w:rsid w:val="00073534"/>
    <w:rsid w:val="0007751A"/>
    <w:rsid w:val="00077709"/>
    <w:rsid w:val="000801C6"/>
    <w:rsid w:val="00081952"/>
    <w:rsid w:val="00085381"/>
    <w:rsid w:val="00085436"/>
    <w:rsid w:val="000920D7"/>
    <w:rsid w:val="00094670"/>
    <w:rsid w:val="000969E8"/>
    <w:rsid w:val="000A0F02"/>
    <w:rsid w:val="000A7DDE"/>
    <w:rsid w:val="000B2177"/>
    <w:rsid w:val="000B5527"/>
    <w:rsid w:val="000B6497"/>
    <w:rsid w:val="000D00FD"/>
    <w:rsid w:val="000D428F"/>
    <w:rsid w:val="000D6C1F"/>
    <w:rsid w:val="000D7F0C"/>
    <w:rsid w:val="000E6953"/>
    <w:rsid w:val="000F72EA"/>
    <w:rsid w:val="00111278"/>
    <w:rsid w:val="00114F7F"/>
    <w:rsid w:val="001218D5"/>
    <w:rsid w:val="00124F9F"/>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2675"/>
    <w:rsid w:val="0033593B"/>
    <w:rsid w:val="0034208B"/>
    <w:rsid w:val="003546FD"/>
    <w:rsid w:val="00357F6E"/>
    <w:rsid w:val="00360C54"/>
    <w:rsid w:val="00361BFF"/>
    <w:rsid w:val="003653D5"/>
    <w:rsid w:val="0037618D"/>
    <w:rsid w:val="0037795D"/>
    <w:rsid w:val="003A658B"/>
    <w:rsid w:val="003B5607"/>
    <w:rsid w:val="003C4B14"/>
    <w:rsid w:val="003C5AC9"/>
    <w:rsid w:val="003D07BF"/>
    <w:rsid w:val="003D0ED7"/>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0F89"/>
    <w:rsid w:val="004E1EFA"/>
    <w:rsid w:val="004F072D"/>
    <w:rsid w:val="004F112F"/>
    <w:rsid w:val="00506550"/>
    <w:rsid w:val="00513431"/>
    <w:rsid w:val="0052029E"/>
    <w:rsid w:val="00524265"/>
    <w:rsid w:val="005249E0"/>
    <w:rsid w:val="0052760F"/>
    <w:rsid w:val="00535795"/>
    <w:rsid w:val="00540409"/>
    <w:rsid w:val="0055269E"/>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323A3"/>
    <w:rsid w:val="00835C0F"/>
    <w:rsid w:val="00842457"/>
    <w:rsid w:val="00843CDA"/>
    <w:rsid w:val="008458C5"/>
    <w:rsid w:val="00856090"/>
    <w:rsid w:val="00857580"/>
    <w:rsid w:val="00865E61"/>
    <w:rsid w:val="00875F72"/>
    <w:rsid w:val="0088525A"/>
    <w:rsid w:val="00887CA4"/>
    <w:rsid w:val="00897D96"/>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646BA"/>
    <w:rsid w:val="00981343"/>
    <w:rsid w:val="00992029"/>
    <w:rsid w:val="009A4D02"/>
    <w:rsid w:val="009A5425"/>
    <w:rsid w:val="009A5DFD"/>
    <w:rsid w:val="009B4D96"/>
    <w:rsid w:val="009B7CE9"/>
    <w:rsid w:val="009D1524"/>
    <w:rsid w:val="009D505C"/>
    <w:rsid w:val="009E695A"/>
    <w:rsid w:val="00A05C36"/>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C47C7"/>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E5331"/>
    <w:rsid w:val="00EF22E2"/>
    <w:rsid w:val="00EF6DEE"/>
    <w:rsid w:val="00F00556"/>
    <w:rsid w:val="00F1064E"/>
    <w:rsid w:val="00F237B6"/>
    <w:rsid w:val="00F2447A"/>
    <w:rsid w:val="00F3210C"/>
    <w:rsid w:val="00F37FDF"/>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0</TotalTime>
  <Pages>14</Pages>
  <Words>5660</Words>
  <Characters>33963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krystians</dc:creator>
  <cp:lastModifiedBy>A1601</cp:lastModifiedBy>
  <cp:revision>2</cp:revision>
  <cp:lastPrinted>2015-08-18T10:14:00Z</cp:lastPrinted>
  <dcterms:created xsi:type="dcterms:W3CDTF">2017-08-25T06:42:00Z</dcterms:created>
  <dcterms:modified xsi:type="dcterms:W3CDTF">2017-08-25T06:42:00Z</dcterms:modified>
</cp:coreProperties>
</file>